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CFDE7E" w14:textId="77777777" w:rsidR="00576223" w:rsidRDefault="00503A21" w:rsidP="00576223">
      <w:pPr>
        <w:jc w:val="center"/>
        <w:rPr>
          <w:rFonts w:ascii="Verdana" w:hAnsi="Verdana"/>
          <w:b/>
          <w:sz w:val="24"/>
          <w:szCs w:val="20"/>
        </w:rPr>
      </w:pPr>
      <w:bookmarkStart w:id="0" w:name="_GoBack"/>
      <w:bookmarkEnd w:id="0"/>
      <w:r>
        <w:rPr>
          <w:rFonts w:ascii="Verdana" w:hAnsi="Verdana"/>
          <w:b/>
          <w:sz w:val="24"/>
          <w:szCs w:val="20"/>
        </w:rPr>
        <w:t>Annex G</w:t>
      </w:r>
      <w:r w:rsidR="00297410">
        <w:rPr>
          <w:rFonts w:ascii="Verdana" w:hAnsi="Verdana"/>
          <w:b/>
          <w:sz w:val="24"/>
          <w:szCs w:val="20"/>
        </w:rPr>
        <w:t xml:space="preserve"> NGESO standard licence conditions (SLC) proposed modifications</w:t>
      </w:r>
    </w:p>
    <w:p w14:paraId="0D975A33" w14:textId="77777777" w:rsidR="00297410" w:rsidRPr="00576223" w:rsidRDefault="00297410" w:rsidP="00576223">
      <w:pPr>
        <w:jc w:val="center"/>
        <w:rPr>
          <w:rFonts w:ascii="Verdana" w:hAnsi="Verdana"/>
          <w:b/>
          <w:sz w:val="24"/>
          <w:szCs w:val="20"/>
        </w:rPr>
      </w:pPr>
    </w:p>
    <w:p w14:paraId="026C0284" w14:textId="68BE6836" w:rsidR="00576223" w:rsidRPr="00FC0B48" w:rsidRDefault="00576223" w:rsidP="00576223">
      <w:pPr>
        <w:rPr>
          <w:rFonts w:ascii="Verdana" w:hAnsi="Verdana"/>
          <w:sz w:val="20"/>
          <w:szCs w:val="20"/>
        </w:rPr>
      </w:pPr>
      <w:r w:rsidRPr="00FC0B48">
        <w:rPr>
          <w:rFonts w:ascii="Verdana" w:hAnsi="Verdana"/>
          <w:sz w:val="20"/>
          <w:szCs w:val="20"/>
        </w:rPr>
        <w:t xml:space="preserve">We have included the sections of the SLCs we have proposed to remove or amend below. Deletions are shown in strike through and new text is double underlined. </w:t>
      </w:r>
    </w:p>
    <w:p w14:paraId="04A926F9" w14:textId="77777777" w:rsidR="00576223" w:rsidRPr="00FC0B48" w:rsidRDefault="00576223" w:rsidP="00576223">
      <w:pPr>
        <w:pStyle w:val="Default"/>
        <w:jc w:val="center"/>
        <w:rPr>
          <w:sz w:val="20"/>
          <w:szCs w:val="20"/>
        </w:rPr>
      </w:pPr>
    </w:p>
    <w:p w14:paraId="6848C798" w14:textId="77777777" w:rsidR="00576223" w:rsidRPr="00FC0B48" w:rsidRDefault="00576223" w:rsidP="00576223">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A1</w:t>
      </w:r>
      <w:r w:rsidR="004E38C8" w:rsidRPr="00FC0B48">
        <w:rPr>
          <w:rFonts w:ascii="Verdana" w:hAnsi="Verdana"/>
          <w:b/>
          <w:color w:val="1F4E79" w:themeColor="accent1" w:themeShade="80"/>
          <w:sz w:val="20"/>
          <w:szCs w:val="20"/>
        </w:rPr>
        <w:t>.</w:t>
      </w:r>
      <w:r w:rsidRPr="00FC0B48">
        <w:rPr>
          <w:rFonts w:ascii="Verdana" w:hAnsi="Verdana"/>
          <w:b/>
          <w:color w:val="1F4E79" w:themeColor="accent1" w:themeShade="80"/>
          <w:sz w:val="20"/>
          <w:szCs w:val="20"/>
        </w:rPr>
        <w:t xml:space="preserve"> Definitions and interpretation</w:t>
      </w:r>
    </w:p>
    <w:p w14:paraId="4B1DF856" w14:textId="77777777" w:rsidR="00F8471D" w:rsidRDefault="00576223" w:rsidP="00576223">
      <w:pPr>
        <w:rPr>
          <w:rFonts w:ascii="Verdana" w:hAnsi="Verdana"/>
          <w:sz w:val="20"/>
          <w:szCs w:val="20"/>
        </w:rPr>
      </w:pPr>
      <w:r w:rsidRPr="00FC0B48">
        <w:rPr>
          <w:rFonts w:ascii="Verdana" w:hAnsi="Verdana"/>
          <w:sz w:val="20"/>
          <w:szCs w:val="20"/>
        </w:rPr>
        <w:t>1. In the standard conditions unless the context otherwise requires:</w:t>
      </w:r>
    </w:p>
    <w:tbl>
      <w:tblPr>
        <w:tblW w:w="9214" w:type="dxa"/>
        <w:tblLayout w:type="fixed"/>
        <w:tblCellMar>
          <w:left w:w="0" w:type="dxa"/>
          <w:right w:w="0" w:type="dxa"/>
        </w:tblCellMar>
        <w:tblLook w:val="04A0" w:firstRow="1" w:lastRow="0" w:firstColumn="1" w:lastColumn="0" w:noHBand="0" w:noVBand="1"/>
      </w:tblPr>
      <w:tblGrid>
        <w:gridCol w:w="3281"/>
        <w:gridCol w:w="5933"/>
      </w:tblGrid>
      <w:tr w:rsidR="00A5450A" w14:paraId="15AAFF6A" w14:textId="77777777" w:rsidTr="00587E6B">
        <w:tc>
          <w:tcPr>
            <w:tcW w:w="3281" w:type="dxa"/>
            <w:hideMark/>
          </w:tcPr>
          <w:p w14:paraId="57CCDBE6" w14:textId="77777777" w:rsidR="00A5450A" w:rsidRDefault="00A5450A" w:rsidP="00F147D5">
            <w:pPr>
              <w:spacing w:line="360" w:lineRule="auto"/>
              <w:ind w:right="284"/>
              <w:rPr>
                <w:rFonts w:ascii="Arial" w:hAnsi="Arial" w:cs="Arial"/>
              </w:rPr>
            </w:pPr>
            <w:r>
              <w:rPr>
                <w:rFonts w:ascii="Arial" w:hAnsi="Arial" w:cs="Arial"/>
              </w:rPr>
              <w:t>"distribution system"</w:t>
            </w:r>
          </w:p>
        </w:tc>
        <w:tc>
          <w:tcPr>
            <w:tcW w:w="5933" w:type="dxa"/>
          </w:tcPr>
          <w:p w14:paraId="691CEC88" w14:textId="77777777" w:rsidR="00A5450A" w:rsidRDefault="00A5450A" w:rsidP="00A5450A">
            <w:pPr>
              <w:spacing w:line="360" w:lineRule="auto"/>
              <w:ind w:left="180" w:right="186"/>
              <w:rPr>
                <w:rFonts w:ascii="Arial" w:hAnsi="Arial" w:cs="Arial"/>
                <w:color w:val="000000"/>
              </w:rPr>
            </w:pPr>
            <w:r>
              <w:rPr>
                <w:rFonts w:ascii="Arial" w:hAnsi="Arial" w:cs="Arial"/>
                <w:color w:val="000000"/>
              </w:rPr>
              <w:t xml:space="preserve">means the system consisting (wholly or mainly) of electric lines owned or operated by an authorised distributor and used for the distribution of electricity from grid supply points or generation sets or other entry points to the points of delivery to customers or authorised electricity operators or any transmission licensee in its capacity as operator of the licensee's transmission system or the national electricity transmission system and includes </w:t>
            </w:r>
            <w:r w:rsidRPr="00A5450A">
              <w:rPr>
                <w:rFonts w:ascii="Arial" w:hAnsi="Arial" w:cs="Arial"/>
                <w:b/>
                <w:strike/>
                <w:snapToGrid w:val="0"/>
              </w:rPr>
              <w:t>remote transmission assets (owned by the licensee within England and Wales) operated by such distributor and any</w:t>
            </w:r>
            <w:r>
              <w:rPr>
                <w:rFonts w:ascii="Arial" w:hAnsi="Arial" w:cs="Arial"/>
                <w:snapToGrid w:val="0"/>
              </w:rPr>
              <w:t xml:space="preserve"> </w:t>
            </w:r>
            <w:r>
              <w:rPr>
                <w:rFonts w:ascii="Arial" w:hAnsi="Arial" w:cs="Arial"/>
                <w:color w:val="000000"/>
              </w:rPr>
              <w:t>electrical plant, meters and metering equipment owned or operated by such distributor in connection with the distribution of electricity, but shall not include any part of the national electricity transmission system.</w:t>
            </w:r>
          </w:p>
        </w:tc>
      </w:tr>
      <w:tr w:rsidR="00A5450A" w14:paraId="78186DEE" w14:textId="77777777" w:rsidTr="00587E6B">
        <w:tc>
          <w:tcPr>
            <w:tcW w:w="3281" w:type="dxa"/>
            <w:hideMark/>
          </w:tcPr>
          <w:p w14:paraId="5C154F76" w14:textId="77777777" w:rsidR="00A5450A" w:rsidRDefault="00A5450A" w:rsidP="00F147D5">
            <w:pPr>
              <w:spacing w:line="360" w:lineRule="auto"/>
              <w:ind w:right="284"/>
              <w:rPr>
                <w:rFonts w:ascii="Arial" w:hAnsi="Arial" w:cs="Arial"/>
              </w:rPr>
            </w:pPr>
            <w:r>
              <w:rPr>
                <w:rFonts w:ascii="Arial" w:hAnsi="Arial" w:cs="Arial"/>
              </w:rPr>
              <w:t>"GB transmission system"</w:t>
            </w:r>
          </w:p>
        </w:tc>
        <w:tc>
          <w:tcPr>
            <w:tcW w:w="5933" w:type="dxa"/>
          </w:tcPr>
          <w:p w14:paraId="3896466C" w14:textId="77777777" w:rsidR="00A5450A" w:rsidRDefault="00A5450A" w:rsidP="00A5450A">
            <w:pPr>
              <w:spacing w:line="360" w:lineRule="auto"/>
              <w:ind w:left="180" w:right="186"/>
              <w:rPr>
                <w:rFonts w:ascii="Arial" w:hAnsi="Arial" w:cs="Arial"/>
                <w:color w:val="000000"/>
              </w:rPr>
            </w:pPr>
            <w:r>
              <w:rPr>
                <w:rFonts w:ascii="Arial" w:hAnsi="Arial" w:cs="Arial"/>
                <w:color w:val="000000"/>
              </w:rPr>
              <w:t xml:space="preserve">for the purposes of standard conditions C18 and D15 and the special conditions of the system operator’s and Scottish licensees’ licences, means the system consisting (wholly or mainly) of high voltage electric lines owned or operated by transmission licensees within Great Britain  and used for the transmission of electricity from one generating station to a sub-station or to another generating station or between sub-stations or to or from any interconnector and includes any electrical plant or meters owned or operated by any transmission licensee within Great Britain in connection with the transmission </w:t>
            </w:r>
            <w:r>
              <w:rPr>
                <w:rFonts w:ascii="Arial" w:hAnsi="Arial" w:cs="Arial"/>
                <w:color w:val="000000"/>
              </w:rPr>
              <w:lastRenderedPageBreak/>
              <w:t>of electricity</w:t>
            </w:r>
            <w:r w:rsidRPr="00A5450A">
              <w:rPr>
                <w:rFonts w:ascii="Arial" w:hAnsi="Arial" w:cs="Arial"/>
                <w:b/>
                <w:strike/>
                <w:color w:val="000000"/>
              </w:rPr>
              <w:t xml:space="preserve"> but shall not include any remote transmission assets</w:t>
            </w:r>
            <w:r>
              <w:rPr>
                <w:rFonts w:ascii="Arial" w:hAnsi="Arial" w:cs="Arial"/>
                <w:color w:val="000000"/>
              </w:rPr>
              <w:t>.</w:t>
            </w:r>
          </w:p>
        </w:tc>
      </w:tr>
      <w:tr w:rsidR="00A5450A" w14:paraId="69154EF3" w14:textId="77777777" w:rsidTr="00587E6B">
        <w:tc>
          <w:tcPr>
            <w:tcW w:w="3281" w:type="dxa"/>
            <w:hideMark/>
          </w:tcPr>
          <w:p w14:paraId="5C3E355A" w14:textId="77777777" w:rsidR="00A5450A" w:rsidRDefault="00A5450A" w:rsidP="00F147D5">
            <w:pPr>
              <w:spacing w:line="360" w:lineRule="auto"/>
              <w:ind w:right="284"/>
              <w:rPr>
                <w:rFonts w:ascii="Arial" w:hAnsi="Arial" w:cs="Arial"/>
              </w:rPr>
            </w:pPr>
            <w:r>
              <w:rPr>
                <w:rFonts w:ascii="Arial" w:hAnsi="Arial" w:cs="Arial"/>
              </w:rPr>
              <w:lastRenderedPageBreak/>
              <w:t>"national electricity transmission system"</w:t>
            </w:r>
          </w:p>
          <w:p w14:paraId="59919B21" w14:textId="77777777" w:rsidR="00A5450A" w:rsidRDefault="00A5450A" w:rsidP="00F147D5">
            <w:pPr>
              <w:spacing w:line="360" w:lineRule="auto"/>
              <w:ind w:right="284"/>
              <w:rPr>
                <w:rFonts w:ascii="Arial" w:hAnsi="Arial" w:cs="Arial"/>
              </w:rPr>
            </w:pPr>
          </w:p>
          <w:p w14:paraId="41F92E3C" w14:textId="77777777" w:rsidR="00A5450A" w:rsidRDefault="00A5450A" w:rsidP="00F147D5">
            <w:pPr>
              <w:spacing w:line="360" w:lineRule="auto"/>
              <w:ind w:right="284"/>
              <w:rPr>
                <w:rFonts w:ascii="Arial" w:hAnsi="Arial" w:cs="Arial"/>
              </w:rPr>
            </w:pPr>
          </w:p>
          <w:p w14:paraId="0F6F8732" w14:textId="77777777" w:rsidR="00A5450A" w:rsidRDefault="00A5450A" w:rsidP="00F147D5">
            <w:pPr>
              <w:spacing w:line="360" w:lineRule="auto"/>
              <w:ind w:right="284"/>
              <w:rPr>
                <w:rFonts w:ascii="Arial" w:hAnsi="Arial" w:cs="Arial"/>
              </w:rPr>
            </w:pPr>
          </w:p>
          <w:p w14:paraId="44A24302" w14:textId="77777777" w:rsidR="00A5450A" w:rsidRDefault="00A5450A" w:rsidP="00F147D5">
            <w:pPr>
              <w:spacing w:line="360" w:lineRule="auto"/>
              <w:ind w:right="284"/>
              <w:rPr>
                <w:rFonts w:ascii="Arial" w:hAnsi="Arial" w:cs="Arial"/>
              </w:rPr>
            </w:pPr>
          </w:p>
          <w:p w14:paraId="1FF18642" w14:textId="77777777" w:rsidR="00A5450A" w:rsidRDefault="00A5450A" w:rsidP="00F147D5">
            <w:pPr>
              <w:spacing w:line="360" w:lineRule="auto"/>
              <w:ind w:right="284"/>
              <w:rPr>
                <w:rFonts w:ascii="Arial" w:hAnsi="Arial" w:cs="Arial"/>
              </w:rPr>
            </w:pPr>
          </w:p>
          <w:p w14:paraId="0FB86659" w14:textId="77777777" w:rsidR="00A5450A" w:rsidRDefault="00A5450A" w:rsidP="00F147D5">
            <w:pPr>
              <w:spacing w:line="360" w:lineRule="auto"/>
              <w:ind w:right="284"/>
              <w:rPr>
                <w:rFonts w:ascii="Arial" w:hAnsi="Arial" w:cs="Arial"/>
              </w:rPr>
            </w:pPr>
          </w:p>
        </w:tc>
        <w:tc>
          <w:tcPr>
            <w:tcW w:w="5933" w:type="dxa"/>
          </w:tcPr>
          <w:p w14:paraId="303B2C0A" w14:textId="77777777" w:rsidR="00A5450A" w:rsidRDefault="00A5450A" w:rsidP="00A5450A">
            <w:pPr>
              <w:spacing w:line="360" w:lineRule="auto"/>
              <w:ind w:left="180" w:right="186"/>
              <w:rPr>
                <w:rFonts w:ascii="Arial" w:hAnsi="Arial" w:cs="Arial"/>
                <w:color w:val="000000"/>
              </w:rPr>
            </w:pPr>
            <w:r>
              <w:rPr>
                <w:rFonts w:ascii="Arial" w:hAnsi="Arial" w:cs="Arial"/>
                <w:color w:val="000000"/>
              </w:rPr>
              <w:t>means the system consisting (wholly or mainly) of high voltage electric lines owned or operated by transmission licensees within Great Britain, in the territorial sea adjacent to Great Britain and in any Renewable Energy Zone and used for the transmission of electricity from one generating station to a sub-station or to another generating station or between sub-stations or to or from any interconnector and includes any electrical plant or meters owned or operated by any transmission licensee within Great Britain, in the territorial sea adjacent to Great Britain and in any Renewable Energy Zone in connection with the transmission of electricity</w:t>
            </w:r>
            <w:r w:rsidRPr="00A5450A">
              <w:rPr>
                <w:rFonts w:ascii="Arial" w:hAnsi="Arial" w:cs="Arial"/>
                <w:b/>
                <w:strike/>
                <w:color w:val="000000"/>
              </w:rPr>
              <w:t xml:space="preserve"> but shall not include any remote transmission assets</w:t>
            </w:r>
            <w:r>
              <w:rPr>
                <w:rFonts w:ascii="Arial" w:hAnsi="Arial" w:cs="Arial"/>
                <w:color w:val="000000"/>
              </w:rPr>
              <w:t>.</w:t>
            </w:r>
          </w:p>
        </w:tc>
      </w:tr>
      <w:tr w:rsidR="00A5450A" w14:paraId="367E88C3" w14:textId="77777777" w:rsidTr="00587E6B">
        <w:tc>
          <w:tcPr>
            <w:tcW w:w="3281" w:type="dxa"/>
            <w:hideMark/>
          </w:tcPr>
          <w:p w14:paraId="7182BFE1" w14:textId="77777777" w:rsidR="00A5450A" w:rsidRPr="00A5450A" w:rsidRDefault="00A5450A" w:rsidP="00A5450A">
            <w:pPr>
              <w:ind w:right="284"/>
              <w:rPr>
                <w:rFonts w:ascii="Arial" w:hAnsi="Arial" w:cs="Arial"/>
                <w:b/>
                <w:strike/>
              </w:rPr>
            </w:pPr>
            <w:r w:rsidRPr="00A5450A">
              <w:rPr>
                <w:rFonts w:ascii="Arial" w:hAnsi="Arial" w:cs="Arial"/>
                <w:b/>
                <w:strike/>
              </w:rPr>
              <w:t>"remote transmission assets"</w:t>
            </w:r>
          </w:p>
          <w:p w14:paraId="40080164" w14:textId="77777777" w:rsidR="00A5450A" w:rsidRPr="00A5450A" w:rsidRDefault="00A5450A" w:rsidP="00A5450A">
            <w:pPr>
              <w:spacing w:line="360" w:lineRule="auto"/>
              <w:ind w:right="284"/>
              <w:rPr>
                <w:rFonts w:ascii="Arial" w:hAnsi="Arial" w:cs="Arial"/>
                <w:b/>
                <w:strike/>
              </w:rPr>
            </w:pPr>
          </w:p>
          <w:p w14:paraId="0E2A2D7A" w14:textId="77777777" w:rsidR="00A5450A" w:rsidRPr="00A5450A" w:rsidRDefault="00A5450A" w:rsidP="00A5450A">
            <w:pPr>
              <w:spacing w:line="360" w:lineRule="auto"/>
              <w:ind w:right="284"/>
              <w:rPr>
                <w:rFonts w:ascii="Arial" w:hAnsi="Arial" w:cs="Arial"/>
                <w:b/>
                <w:strike/>
              </w:rPr>
            </w:pPr>
          </w:p>
        </w:tc>
        <w:tc>
          <w:tcPr>
            <w:tcW w:w="5933" w:type="dxa"/>
          </w:tcPr>
          <w:p w14:paraId="031F5420" w14:textId="77777777" w:rsidR="00A5450A" w:rsidRPr="00A5450A" w:rsidRDefault="00A5450A" w:rsidP="00A5450A">
            <w:pPr>
              <w:ind w:left="180" w:right="186"/>
              <w:rPr>
                <w:rFonts w:ascii="Arial" w:hAnsi="Arial" w:cs="Arial"/>
                <w:b/>
                <w:strike/>
                <w:color w:val="000000"/>
              </w:rPr>
            </w:pPr>
            <w:r w:rsidRPr="00A5450A">
              <w:rPr>
                <w:rFonts w:ascii="Arial" w:hAnsi="Arial" w:cs="Arial"/>
                <w:b/>
                <w:strike/>
                <w:color w:val="000000"/>
              </w:rPr>
              <w:t>means any electric lines, electrical plant or meters in England and Wales owned by the licensee which:</w:t>
            </w:r>
          </w:p>
          <w:p w14:paraId="63EB08F1" w14:textId="77777777" w:rsidR="00A5450A" w:rsidRPr="00A5450A" w:rsidRDefault="00A5450A" w:rsidP="00A5450A">
            <w:pPr>
              <w:ind w:left="180" w:right="186"/>
              <w:rPr>
                <w:rFonts w:ascii="Arial" w:hAnsi="Arial" w:cs="Arial"/>
                <w:b/>
                <w:strike/>
                <w:color w:val="000000"/>
              </w:rPr>
            </w:pPr>
            <w:r w:rsidRPr="00A5450A">
              <w:rPr>
                <w:rFonts w:ascii="Arial" w:hAnsi="Arial" w:cs="Arial"/>
                <w:b/>
                <w:strike/>
                <w:color w:val="000000"/>
              </w:rPr>
              <w:t xml:space="preserve">are embedded in a distribution system of an authorised electricity operator within the transmission area of the licensee and are not directly connected by lines or plant owned by the licensee to a sub-station owned by the licensee and </w:t>
            </w:r>
          </w:p>
          <w:p w14:paraId="4AC30408" w14:textId="77777777" w:rsidR="00A5450A" w:rsidRPr="00A5450A" w:rsidRDefault="00A5450A" w:rsidP="00A5450A">
            <w:pPr>
              <w:ind w:left="180" w:right="186"/>
              <w:rPr>
                <w:rFonts w:ascii="Arial" w:hAnsi="Arial" w:cs="Arial"/>
                <w:b/>
                <w:strike/>
                <w:color w:val="000000"/>
              </w:rPr>
            </w:pPr>
            <w:r w:rsidRPr="00A5450A">
              <w:rPr>
                <w:rFonts w:ascii="Arial" w:hAnsi="Arial" w:cs="Arial"/>
                <w:b/>
                <w:strike/>
                <w:color w:val="000000"/>
              </w:rPr>
              <w:t>are, by agreement between the licensee and such authorised electricity operator, operated under the direction and control of such authorised electricity operator.</w:t>
            </w:r>
          </w:p>
        </w:tc>
      </w:tr>
      <w:tr w:rsidR="00A5450A" w14:paraId="7A9560D1" w14:textId="77777777" w:rsidTr="00587E6B">
        <w:tc>
          <w:tcPr>
            <w:tcW w:w="3281" w:type="dxa"/>
            <w:hideMark/>
          </w:tcPr>
          <w:p w14:paraId="2F518339" w14:textId="77777777" w:rsidR="00A5450A" w:rsidRPr="00A5450A" w:rsidRDefault="00A5450A" w:rsidP="00A5450A">
            <w:pPr>
              <w:ind w:right="284"/>
              <w:rPr>
                <w:rFonts w:ascii="Arial" w:hAnsi="Arial" w:cs="Arial"/>
              </w:rPr>
            </w:pPr>
            <w:r w:rsidRPr="00A5450A">
              <w:rPr>
                <w:rFonts w:ascii="Arial" w:hAnsi="Arial" w:cs="Arial"/>
              </w:rPr>
              <w:t>"transmission business"</w:t>
            </w:r>
          </w:p>
        </w:tc>
        <w:tc>
          <w:tcPr>
            <w:tcW w:w="5933" w:type="dxa"/>
          </w:tcPr>
          <w:p w14:paraId="6523E823" w14:textId="77777777" w:rsidR="00A5450A" w:rsidRPr="00A5450A" w:rsidRDefault="00A5450A" w:rsidP="00A5450A">
            <w:pPr>
              <w:ind w:left="180" w:right="186"/>
              <w:rPr>
                <w:rFonts w:ascii="Arial" w:hAnsi="Arial" w:cs="Arial"/>
                <w:color w:val="000000"/>
              </w:rPr>
            </w:pPr>
            <w:r w:rsidRPr="00A5450A">
              <w:rPr>
                <w:rFonts w:ascii="Arial" w:hAnsi="Arial" w:cs="Arial"/>
                <w:color w:val="000000"/>
              </w:rPr>
              <w:t xml:space="preserve">means the authorised business of the licensee or any affiliate or related undertaking in the planning or development or construction or operation or maintenance </w:t>
            </w:r>
            <w:r w:rsidRPr="00A5450A">
              <w:rPr>
                <w:rFonts w:ascii="Arial" w:hAnsi="Arial" w:cs="Arial"/>
                <w:b/>
                <w:color w:val="000000"/>
              </w:rPr>
              <w:t>or commercial management</w:t>
            </w:r>
            <w:r w:rsidRPr="00A5450A">
              <w:rPr>
                <w:rFonts w:ascii="Arial" w:hAnsi="Arial" w:cs="Arial"/>
                <w:color w:val="000000"/>
              </w:rPr>
              <w:t xml:space="preserve"> of the licensee's transmission system or the national electricity transmission system or the provision of transmission services (whether or not pursuant to directions of the Secretary of State made under section 34 or 35 of the Act) or the co-ordination and direction of the flow of electricity onto and over the national electricity transmission system including </w:t>
            </w:r>
            <w:r w:rsidRPr="00A5450A">
              <w:rPr>
                <w:rFonts w:ascii="Arial" w:hAnsi="Arial" w:cs="Arial"/>
                <w:b/>
                <w:strike/>
                <w:color w:val="000000"/>
              </w:rPr>
              <w:t>the transmission owner activity,</w:t>
            </w:r>
            <w:r w:rsidRPr="00A5450A">
              <w:rPr>
                <w:rFonts w:ascii="Arial" w:hAnsi="Arial" w:cs="Arial"/>
                <w:color w:val="000000"/>
              </w:rPr>
              <w:t xml:space="preserve"> the balancing services activity, and any business in providing connections to the national electricity transmission system, but shall not include:</w:t>
            </w:r>
          </w:p>
          <w:p w14:paraId="2D8D7D07" w14:textId="77777777" w:rsidR="00A5450A" w:rsidRPr="00A5450A" w:rsidRDefault="00A5450A" w:rsidP="00A5450A">
            <w:pPr>
              <w:ind w:left="180" w:right="186"/>
              <w:rPr>
                <w:rFonts w:ascii="Arial" w:hAnsi="Arial" w:cs="Arial"/>
                <w:color w:val="000000"/>
              </w:rPr>
            </w:pPr>
            <w:r w:rsidRPr="00A5450A">
              <w:rPr>
                <w:rFonts w:ascii="Arial" w:hAnsi="Arial" w:cs="Arial"/>
                <w:color w:val="000000"/>
              </w:rPr>
              <w:lastRenderedPageBreak/>
              <w:t>(i)</w:t>
            </w:r>
            <w:r w:rsidRPr="00A5450A">
              <w:rPr>
                <w:rFonts w:ascii="Arial" w:hAnsi="Arial" w:cs="Arial"/>
                <w:color w:val="000000"/>
              </w:rPr>
              <w:tab/>
              <w:t xml:space="preserve">any business of the licensee or any affiliate or related undertaking in the provision of settlement services in connection with the BSC or the Pooling and Settlement Agreement; </w:t>
            </w:r>
            <w:r w:rsidRPr="00AA6CCB">
              <w:rPr>
                <w:rFonts w:ascii="Arial" w:hAnsi="Arial" w:cs="Arial"/>
                <w:strike/>
                <w:color w:val="000000"/>
                <w:highlight w:val="yellow"/>
              </w:rPr>
              <w:t>or</w:t>
            </w:r>
          </w:p>
          <w:p w14:paraId="46307344" w14:textId="77777777" w:rsidR="00A5450A" w:rsidRPr="00AA6CCB" w:rsidRDefault="00A5450A" w:rsidP="00A5450A">
            <w:pPr>
              <w:ind w:left="180" w:right="186"/>
              <w:rPr>
                <w:rFonts w:ascii="Arial" w:hAnsi="Arial" w:cs="Arial"/>
                <w:color w:val="000000"/>
                <w:highlight w:val="yellow"/>
                <w:u w:val="double"/>
              </w:rPr>
            </w:pPr>
            <w:r w:rsidRPr="00A5450A">
              <w:rPr>
                <w:rFonts w:ascii="Arial" w:hAnsi="Arial" w:cs="Arial"/>
                <w:color w:val="000000"/>
              </w:rPr>
              <w:t>(ii)</w:t>
            </w:r>
            <w:r w:rsidRPr="00A5450A">
              <w:rPr>
                <w:rFonts w:ascii="Arial" w:hAnsi="Arial" w:cs="Arial"/>
                <w:color w:val="000000"/>
              </w:rPr>
              <w:tab/>
              <w:t>any other business of the licensee or any affiliate or related undertaking in the provision of services to or on be</w:t>
            </w:r>
            <w:r w:rsidR="00AA6CCB">
              <w:rPr>
                <w:rFonts w:ascii="Arial" w:hAnsi="Arial" w:cs="Arial"/>
                <w:color w:val="000000"/>
              </w:rPr>
              <w:t xml:space="preserve">half of any one or more persons; </w:t>
            </w:r>
            <w:r w:rsidR="00AA6CCB" w:rsidRPr="00AA6CCB">
              <w:rPr>
                <w:rFonts w:ascii="Arial" w:hAnsi="Arial" w:cs="Arial"/>
                <w:color w:val="000000"/>
                <w:highlight w:val="yellow"/>
                <w:u w:val="double"/>
              </w:rPr>
              <w:t>or</w:t>
            </w:r>
          </w:p>
          <w:p w14:paraId="2802481E" w14:textId="0A49664D" w:rsidR="00AA6CCB" w:rsidRPr="00A5450A" w:rsidRDefault="00AA6CCB" w:rsidP="00A5450A">
            <w:pPr>
              <w:ind w:left="180" w:right="186"/>
              <w:rPr>
                <w:rFonts w:ascii="Arial" w:hAnsi="Arial" w:cs="Arial"/>
                <w:color w:val="000000"/>
              </w:rPr>
            </w:pPr>
            <w:r w:rsidRPr="00AA6CCB">
              <w:rPr>
                <w:rFonts w:ascii="Arial" w:hAnsi="Arial" w:cs="Arial"/>
                <w:color w:val="000000"/>
                <w:highlight w:val="yellow"/>
                <w:u w:val="double"/>
              </w:rPr>
              <w:t>(iii)    any business of National Grid Electricity Transmission plc (Company Number 2366977) and its affiliates or related undertakings that is  participating in the transmission of electricity  pursuant to a transmission licence held by National Grid Electricity Transmission plc.</w:t>
            </w:r>
          </w:p>
        </w:tc>
      </w:tr>
    </w:tbl>
    <w:p w14:paraId="4FB01B6D" w14:textId="77777777" w:rsidR="00284003" w:rsidRPr="00FC0B48" w:rsidRDefault="00284003" w:rsidP="00576223">
      <w:pPr>
        <w:rPr>
          <w:rFonts w:ascii="Verdana" w:hAnsi="Verdana"/>
          <w:sz w:val="20"/>
          <w:szCs w:val="20"/>
        </w:rPr>
      </w:pPr>
    </w:p>
    <w:p w14:paraId="3218F4D9" w14:textId="77777777" w:rsidR="00BF61B9" w:rsidRPr="00FC0B48" w:rsidRDefault="00BF61B9" w:rsidP="00BF61B9">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B</w:t>
      </w:r>
      <w:r w:rsidR="00A5450A">
        <w:rPr>
          <w:rFonts w:ascii="Verdana" w:hAnsi="Verdana"/>
          <w:b/>
          <w:color w:val="1F4E79" w:themeColor="accent1" w:themeShade="80"/>
          <w:sz w:val="20"/>
          <w:szCs w:val="20"/>
        </w:rPr>
        <w:t>22</w:t>
      </w:r>
      <w:r w:rsidRPr="00FC0B48">
        <w:rPr>
          <w:rFonts w:ascii="Verdana" w:hAnsi="Verdana"/>
          <w:b/>
          <w:color w:val="1F4E79" w:themeColor="accent1" w:themeShade="80"/>
          <w:sz w:val="20"/>
          <w:szCs w:val="20"/>
        </w:rPr>
        <w:t xml:space="preserve">. </w:t>
      </w:r>
      <w:r w:rsidR="00A5450A">
        <w:rPr>
          <w:rFonts w:ascii="Verdana" w:hAnsi="Verdana"/>
          <w:b/>
          <w:color w:val="1F4E79" w:themeColor="accent1" w:themeShade="80"/>
          <w:sz w:val="20"/>
          <w:szCs w:val="20"/>
        </w:rPr>
        <w:t>Requirement for sufficiently independent directors</w:t>
      </w:r>
    </w:p>
    <w:p w14:paraId="0275F0EB" w14:textId="77777777" w:rsidR="00587E6B" w:rsidRDefault="00587E6B" w:rsidP="00587E6B">
      <w:pPr>
        <w:spacing w:after="120" w:line="360" w:lineRule="auto"/>
        <w:ind w:left="720" w:hanging="720"/>
        <w:rPr>
          <w:rFonts w:ascii="Arial" w:hAnsi="Arial" w:cs="Arial"/>
          <w:sz w:val="24"/>
          <w:szCs w:val="24"/>
        </w:rPr>
      </w:pPr>
      <w:r>
        <w:rPr>
          <w:rFonts w:ascii="Verdana" w:hAnsi="Verdana"/>
          <w:sz w:val="20"/>
          <w:szCs w:val="20"/>
        </w:rPr>
        <w:t xml:space="preserve">2. Subject </w:t>
      </w:r>
      <w:r>
        <w:rPr>
          <w:rFonts w:ascii="Arial" w:hAnsi="Arial" w:cs="Arial"/>
        </w:rPr>
        <w:t>to paragraph 11, except and to the extent that the Authority consents otherwise, the licensee must ensure that at all times after a date which is the later of:</w:t>
      </w:r>
    </w:p>
    <w:p w14:paraId="01A810D0" w14:textId="77777777" w:rsidR="00587E6B" w:rsidRDefault="00587E6B" w:rsidP="00587E6B">
      <w:pPr>
        <w:spacing w:line="360" w:lineRule="auto"/>
        <w:ind w:left="720" w:hanging="720"/>
        <w:rPr>
          <w:rFonts w:ascii="Arial" w:hAnsi="Arial" w:cs="Arial"/>
        </w:rPr>
      </w:pPr>
      <w:r>
        <w:rPr>
          <w:rFonts w:ascii="Arial" w:hAnsi="Arial" w:cs="Arial"/>
        </w:rPr>
        <w:tab/>
        <w:t>(a)</w:t>
      </w:r>
      <w:r>
        <w:rPr>
          <w:rFonts w:ascii="Arial" w:hAnsi="Arial" w:cs="Arial"/>
        </w:rPr>
        <w:tab/>
        <w:t>1 April 2014; and</w:t>
      </w:r>
    </w:p>
    <w:p w14:paraId="279999D6" w14:textId="77777777" w:rsidR="00587E6B" w:rsidRDefault="00587E6B" w:rsidP="00587E6B">
      <w:pPr>
        <w:spacing w:after="120" w:line="360" w:lineRule="auto"/>
        <w:ind w:left="720" w:hanging="720"/>
        <w:rPr>
          <w:rFonts w:ascii="Arial" w:hAnsi="Arial" w:cs="Arial"/>
        </w:rPr>
      </w:pPr>
      <w:r>
        <w:rPr>
          <w:rFonts w:ascii="Arial" w:hAnsi="Arial" w:cs="Arial"/>
        </w:rPr>
        <w:tab/>
        <w:t>(b)</w:t>
      </w:r>
      <w:r>
        <w:rPr>
          <w:rFonts w:ascii="Arial" w:hAnsi="Arial" w:cs="Arial"/>
        </w:rPr>
        <w:tab/>
        <w:t xml:space="preserve">12 months after this condition comes into effect in respect of the licensee, </w:t>
      </w:r>
    </w:p>
    <w:p w14:paraId="4AAF7FE7" w14:textId="77777777" w:rsidR="00BF61B9" w:rsidRDefault="00587E6B" w:rsidP="00587E6B">
      <w:pPr>
        <w:ind w:left="284"/>
        <w:rPr>
          <w:rFonts w:ascii="Arial" w:hAnsi="Arial" w:cs="Arial"/>
        </w:rPr>
      </w:pPr>
      <w:r>
        <w:rPr>
          <w:rFonts w:ascii="Arial" w:hAnsi="Arial" w:cs="Arial"/>
        </w:rPr>
        <w:t xml:space="preserve">it has at least </w:t>
      </w:r>
      <w:r w:rsidRPr="00587E6B">
        <w:rPr>
          <w:rFonts w:ascii="Arial" w:hAnsi="Arial" w:cs="Arial"/>
          <w:strike/>
        </w:rPr>
        <w:t>two</w:t>
      </w:r>
      <w:r w:rsidRPr="00587E6B">
        <w:rPr>
          <w:rFonts w:ascii="Arial" w:hAnsi="Arial" w:cs="Arial"/>
          <w:u w:val="double"/>
        </w:rPr>
        <w:t>three</w:t>
      </w:r>
      <w:r>
        <w:rPr>
          <w:rFonts w:ascii="Arial" w:hAnsi="Arial" w:cs="Arial"/>
        </w:rPr>
        <w:t xml:space="preserve"> non-executive directors who meet the criteria set out in paragraphs 2, 3, and 5 below.  In this condition such directors are referred to as “sufficiently independent directors”.</w:t>
      </w:r>
    </w:p>
    <w:p w14:paraId="49CA8D75" w14:textId="77777777" w:rsidR="00587E6B" w:rsidRDefault="00587E6B" w:rsidP="00587E6B">
      <w:pPr>
        <w:rPr>
          <w:rFonts w:ascii="Arial" w:hAnsi="Arial" w:cs="Arial"/>
        </w:rPr>
      </w:pPr>
    </w:p>
    <w:p w14:paraId="7AA19D10" w14:textId="77777777" w:rsidR="00587E6B" w:rsidRPr="00FC0B48" w:rsidRDefault="00587E6B" w:rsidP="00587E6B">
      <w:pPr>
        <w:rPr>
          <w:rFonts w:ascii="Verdana" w:hAnsi="Verdana"/>
          <w:b/>
          <w:color w:val="1F4E79" w:themeColor="accent1" w:themeShade="80"/>
          <w:sz w:val="20"/>
          <w:szCs w:val="20"/>
        </w:rPr>
      </w:pPr>
      <w:r w:rsidRPr="00FC0B48">
        <w:rPr>
          <w:rFonts w:ascii="Verdana" w:hAnsi="Verdana"/>
          <w:b/>
          <w:color w:val="1F4E79" w:themeColor="accent1" w:themeShade="80"/>
          <w:sz w:val="20"/>
          <w:szCs w:val="20"/>
        </w:rPr>
        <w:t>C1. Interpretation of Section C</w:t>
      </w:r>
    </w:p>
    <w:tbl>
      <w:tblPr>
        <w:tblW w:w="9214" w:type="dxa"/>
        <w:tblLayout w:type="fixed"/>
        <w:tblCellMar>
          <w:left w:w="0" w:type="dxa"/>
          <w:right w:w="0" w:type="dxa"/>
        </w:tblCellMar>
        <w:tblLook w:val="0000" w:firstRow="0" w:lastRow="0" w:firstColumn="0" w:lastColumn="0" w:noHBand="0" w:noVBand="0"/>
      </w:tblPr>
      <w:tblGrid>
        <w:gridCol w:w="3980"/>
        <w:gridCol w:w="5234"/>
      </w:tblGrid>
      <w:tr w:rsidR="00587E6B" w:rsidRPr="00FC0B48" w14:paraId="217E4CEC" w14:textId="77777777" w:rsidTr="00F147D5">
        <w:tc>
          <w:tcPr>
            <w:tcW w:w="3980" w:type="dxa"/>
          </w:tcPr>
          <w:p w14:paraId="25136DAB" w14:textId="77777777" w:rsidR="00587E6B" w:rsidRPr="00FC0B48" w:rsidRDefault="00587E6B" w:rsidP="00F147D5">
            <w:pPr>
              <w:spacing w:after="240" w:line="360" w:lineRule="auto"/>
              <w:ind w:right="284"/>
              <w:rPr>
                <w:rFonts w:ascii="Verdana" w:eastAsia="Times New Roman" w:hAnsi="Verdana" w:cs="Arial"/>
                <w:b/>
                <w:strike/>
                <w:sz w:val="20"/>
                <w:szCs w:val="20"/>
                <w:lang w:eastAsia="en-GB"/>
              </w:rPr>
            </w:pPr>
            <w:r w:rsidRPr="00FC0B48">
              <w:rPr>
                <w:rFonts w:ascii="Verdana" w:eastAsia="Times New Roman" w:hAnsi="Verdana" w:cs="Arial"/>
                <w:b/>
                <w:strike/>
                <w:sz w:val="20"/>
                <w:szCs w:val="20"/>
                <w:lang w:eastAsia="en-GB"/>
              </w:rPr>
              <w:t xml:space="preserve">"transmission owner activity" </w:t>
            </w:r>
          </w:p>
        </w:tc>
        <w:tc>
          <w:tcPr>
            <w:tcW w:w="5234" w:type="dxa"/>
          </w:tcPr>
          <w:p w14:paraId="75630086" w14:textId="77777777" w:rsidR="00587E6B" w:rsidRPr="00FC0B48" w:rsidRDefault="00587E6B" w:rsidP="00F147D5">
            <w:pPr>
              <w:tabs>
                <w:tab w:val="left" w:pos="0"/>
              </w:tabs>
              <w:spacing w:after="0" w:line="360" w:lineRule="auto"/>
              <w:ind w:left="132" w:right="252"/>
              <w:rPr>
                <w:rFonts w:ascii="Verdana" w:eastAsia="Times New Roman" w:hAnsi="Verdana" w:cs="Arial"/>
                <w:b/>
                <w:strike/>
                <w:sz w:val="20"/>
                <w:szCs w:val="20"/>
              </w:rPr>
            </w:pPr>
            <w:r w:rsidRPr="00FC0B48">
              <w:rPr>
                <w:rFonts w:ascii="Verdana" w:eastAsia="Times New Roman" w:hAnsi="Verdana" w:cs="Arial"/>
                <w:b/>
                <w:strike/>
                <w:sz w:val="20"/>
                <w:szCs w:val="20"/>
              </w:rPr>
              <w:t xml:space="preserve">means </w:t>
            </w:r>
          </w:p>
          <w:p w14:paraId="721818DA" w14:textId="77777777" w:rsidR="00587E6B" w:rsidRPr="00FC0B48" w:rsidRDefault="00587E6B" w:rsidP="00F147D5">
            <w:pPr>
              <w:tabs>
                <w:tab w:val="left" w:pos="0"/>
              </w:tabs>
              <w:spacing w:after="0" w:line="360" w:lineRule="auto"/>
              <w:ind w:left="132" w:right="252"/>
              <w:rPr>
                <w:rFonts w:ascii="Verdana" w:eastAsia="Times New Roman" w:hAnsi="Verdana" w:cs="Arial"/>
                <w:b/>
                <w:strike/>
                <w:sz w:val="20"/>
                <w:szCs w:val="20"/>
              </w:rPr>
            </w:pPr>
            <w:r w:rsidRPr="00FC0B48">
              <w:rPr>
                <w:rFonts w:ascii="Verdana" w:eastAsia="Times New Roman" w:hAnsi="Verdana" w:cs="Arial"/>
                <w:b/>
                <w:strike/>
                <w:sz w:val="20"/>
                <w:szCs w:val="20"/>
              </w:rPr>
              <w:t>the activity of the licensee or any affiliate or related undertaking relating to the medium and to long term planning, development, construction, maintenance and commercial management of the licensee’s transmission system or the national electricity transmission system which is remunerated under special condition 3A (Restriction of Transmission Network Revenue), and excluded services.</w:t>
            </w:r>
          </w:p>
        </w:tc>
      </w:tr>
    </w:tbl>
    <w:p w14:paraId="3C2CA1F8" w14:textId="77777777" w:rsidR="009C486E" w:rsidRPr="009C486E" w:rsidRDefault="009C486E" w:rsidP="009C486E">
      <w:pPr>
        <w:rPr>
          <w:rFonts w:ascii="Verdana" w:hAnsi="Verdana"/>
          <w:b/>
          <w:color w:val="1F4E79" w:themeColor="accent1" w:themeShade="80"/>
          <w:sz w:val="20"/>
          <w:szCs w:val="20"/>
        </w:rPr>
      </w:pPr>
      <w:r w:rsidRPr="009C486E">
        <w:rPr>
          <w:rFonts w:ascii="Verdana" w:hAnsi="Verdana"/>
          <w:b/>
          <w:color w:val="1F4E79" w:themeColor="accent1" w:themeShade="80"/>
          <w:sz w:val="20"/>
          <w:szCs w:val="20"/>
        </w:rPr>
        <w:t>Condition C2: Prohibited activities</w:t>
      </w:r>
    </w:p>
    <w:p w14:paraId="30EF522B" w14:textId="13B38E63" w:rsidR="009C486E" w:rsidRPr="009C486E" w:rsidRDefault="009C486E" w:rsidP="009C486E">
      <w:pPr>
        <w:rPr>
          <w:rFonts w:ascii="Arial" w:hAnsi="Arial" w:cs="Arial"/>
        </w:rPr>
      </w:pPr>
      <w:r w:rsidRPr="009C486E">
        <w:rPr>
          <w:rFonts w:ascii="Arial" w:hAnsi="Arial" w:cs="Arial"/>
        </w:rPr>
        <w:t xml:space="preserve">1. The purpose of this condition is to prevent abuse by </w:t>
      </w:r>
      <w:r>
        <w:rPr>
          <w:rFonts w:ascii="Arial" w:hAnsi="Arial" w:cs="Arial"/>
        </w:rPr>
        <w:t xml:space="preserve">the licensee of its position as </w:t>
      </w:r>
      <w:r w:rsidRPr="009C486E">
        <w:rPr>
          <w:rFonts w:ascii="Arial" w:hAnsi="Arial" w:cs="Arial"/>
        </w:rPr>
        <w:t>owner or operator of the licensee's transmission system and in carrying out activities in</w:t>
      </w:r>
      <w:r>
        <w:rPr>
          <w:rFonts w:ascii="Arial" w:hAnsi="Arial" w:cs="Arial"/>
        </w:rPr>
        <w:t xml:space="preserve"> </w:t>
      </w:r>
      <w:r w:rsidRPr="009C486E">
        <w:rPr>
          <w:rFonts w:ascii="Arial" w:hAnsi="Arial" w:cs="Arial"/>
        </w:rPr>
        <w:t>relation to co-ordinating and directing the flow of e</w:t>
      </w:r>
      <w:r>
        <w:rPr>
          <w:rFonts w:ascii="Arial" w:hAnsi="Arial" w:cs="Arial"/>
        </w:rPr>
        <w:t xml:space="preserve">lectricity onto and over the GB </w:t>
      </w:r>
      <w:r w:rsidRPr="009C486E">
        <w:rPr>
          <w:rFonts w:ascii="Arial" w:hAnsi="Arial" w:cs="Arial"/>
        </w:rPr>
        <w:t>transmission system.</w:t>
      </w:r>
    </w:p>
    <w:p w14:paraId="12E5AE05" w14:textId="0DA5ADF8" w:rsidR="009C486E" w:rsidRPr="009C486E" w:rsidRDefault="009C486E" w:rsidP="009C486E">
      <w:pPr>
        <w:rPr>
          <w:rFonts w:ascii="Arial" w:hAnsi="Arial" w:cs="Arial"/>
        </w:rPr>
      </w:pPr>
      <w:r w:rsidRPr="009C486E">
        <w:rPr>
          <w:rFonts w:ascii="Arial" w:hAnsi="Arial" w:cs="Arial"/>
        </w:rPr>
        <w:lastRenderedPageBreak/>
        <w:t>2. Except with the written consent of the Authority, t</w:t>
      </w:r>
      <w:r w:rsidR="0008405E">
        <w:rPr>
          <w:rFonts w:ascii="Arial" w:hAnsi="Arial" w:cs="Arial"/>
        </w:rPr>
        <w:t xml:space="preserve">he licensee shall not and shall </w:t>
      </w:r>
      <w:r w:rsidRPr="009C486E">
        <w:rPr>
          <w:rFonts w:ascii="Arial" w:hAnsi="Arial" w:cs="Arial"/>
        </w:rPr>
        <w:t xml:space="preserve">procure that any affiliate or related undertaking of the licensee </w:t>
      </w:r>
      <w:r w:rsidRPr="009C486E">
        <w:rPr>
          <w:rFonts w:ascii="Arial" w:hAnsi="Arial" w:cs="Arial"/>
          <w:highlight w:val="yellow"/>
          <w:u w:val="double"/>
        </w:rPr>
        <w:t>that is not subject to Condition D6</w:t>
      </w:r>
      <w:r>
        <w:rPr>
          <w:rFonts w:ascii="Arial" w:hAnsi="Arial" w:cs="Arial"/>
        </w:rPr>
        <w:t xml:space="preserve"> shall not, on its own </w:t>
      </w:r>
      <w:r w:rsidRPr="009C486E">
        <w:rPr>
          <w:rFonts w:ascii="Arial" w:hAnsi="Arial" w:cs="Arial"/>
        </w:rPr>
        <w:t>account (or that of the licensee or of any affiliate or rela</w:t>
      </w:r>
      <w:r>
        <w:rPr>
          <w:rFonts w:ascii="Arial" w:hAnsi="Arial" w:cs="Arial"/>
        </w:rPr>
        <w:t xml:space="preserve">ted undertaking of the licensee </w:t>
      </w:r>
      <w:r w:rsidRPr="009C486E">
        <w:rPr>
          <w:rFonts w:ascii="Arial" w:hAnsi="Arial" w:cs="Arial"/>
        </w:rPr>
        <w:t>as the case may be), purchase or otherwise acquire electri</w:t>
      </w:r>
      <w:r>
        <w:rPr>
          <w:rFonts w:ascii="Arial" w:hAnsi="Arial" w:cs="Arial"/>
        </w:rPr>
        <w:t xml:space="preserve">city for the purpose of sale or </w:t>
      </w:r>
      <w:r w:rsidRPr="009C486E">
        <w:rPr>
          <w:rFonts w:ascii="Arial" w:hAnsi="Arial" w:cs="Arial"/>
        </w:rPr>
        <w:t xml:space="preserve">other disposition to third parties except pursuant to the </w:t>
      </w:r>
      <w:r>
        <w:rPr>
          <w:rFonts w:ascii="Arial" w:hAnsi="Arial" w:cs="Arial"/>
        </w:rPr>
        <w:t xml:space="preserve">procurement or use of balancing </w:t>
      </w:r>
      <w:r w:rsidRPr="009C486E">
        <w:rPr>
          <w:rFonts w:ascii="Arial" w:hAnsi="Arial" w:cs="Arial"/>
        </w:rPr>
        <w:t>services in connection with co-ordinating and directing t</w:t>
      </w:r>
      <w:r>
        <w:rPr>
          <w:rFonts w:ascii="Arial" w:hAnsi="Arial" w:cs="Arial"/>
        </w:rPr>
        <w:t xml:space="preserve">he flow of electricity onto and </w:t>
      </w:r>
      <w:r w:rsidRPr="009C486E">
        <w:rPr>
          <w:rFonts w:ascii="Arial" w:hAnsi="Arial" w:cs="Arial"/>
        </w:rPr>
        <w:t>over the GB transmission system and doing so economically and efficiently.</w:t>
      </w:r>
    </w:p>
    <w:p w14:paraId="0559B89A" w14:textId="66751685" w:rsidR="00587E6B" w:rsidRDefault="009C486E" w:rsidP="009C486E">
      <w:pPr>
        <w:rPr>
          <w:rFonts w:ascii="Arial" w:hAnsi="Arial" w:cs="Arial"/>
        </w:rPr>
      </w:pPr>
      <w:r w:rsidRPr="009C486E">
        <w:rPr>
          <w:rFonts w:ascii="Arial" w:hAnsi="Arial" w:cs="Arial"/>
        </w:rPr>
        <w:t>3. In paragraph 2, the reference to the purchase or other a</w:t>
      </w:r>
      <w:r>
        <w:rPr>
          <w:rFonts w:ascii="Arial" w:hAnsi="Arial" w:cs="Arial"/>
        </w:rPr>
        <w:t xml:space="preserve">cquisition of electricity shall </w:t>
      </w:r>
      <w:r w:rsidRPr="009C486E">
        <w:rPr>
          <w:rFonts w:ascii="Arial" w:hAnsi="Arial" w:cs="Arial"/>
        </w:rPr>
        <w:t xml:space="preserve">include entering into or acquiring the benefit of </w:t>
      </w:r>
      <w:r>
        <w:rPr>
          <w:rFonts w:ascii="Arial" w:hAnsi="Arial" w:cs="Arial"/>
        </w:rPr>
        <w:t xml:space="preserve">a contract conferring rights or </w:t>
      </w:r>
      <w:r w:rsidRPr="009C486E">
        <w:rPr>
          <w:rFonts w:ascii="Arial" w:hAnsi="Arial" w:cs="Arial"/>
        </w:rPr>
        <w:t xml:space="preserve">obligations (including rights or obligations by way </w:t>
      </w:r>
      <w:r>
        <w:rPr>
          <w:rFonts w:ascii="Arial" w:hAnsi="Arial" w:cs="Arial"/>
        </w:rPr>
        <w:t xml:space="preserve">of option) in relation to or by </w:t>
      </w:r>
      <w:r w:rsidRPr="009C486E">
        <w:rPr>
          <w:rFonts w:ascii="Arial" w:hAnsi="Arial" w:cs="Arial"/>
        </w:rPr>
        <w:t>reference to the sale, purchase or delivery of electric</w:t>
      </w:r>
      <w:r>
        <w:rPr>
          <w:rFonts w:ascii="Arial" w:hAnsi="Arial" w:cs="Arial"/>
        </w:rPr>
        <w:t xml:space="preserve">ity at any time or the price at </w:t>
      </w:r>
      <w:r w:rsidRPr="009C486E">
        <w:rPr>
          <w:rFonts w:ascii="Arial" w:hAnsi="Arial" w:cs="Arial"/>
        </w:rPr>
        <w:t>which electricity is sold or purchased at any time</w:t>
      </w:r>
    </w:p>
    <w:p w14:paraId="0DD753B5" w14:textId="558D0E12" w:rsidR="009C486E" w:rsidRPr="009C486E" w:rsidRDefault="009C486E" w:rsidP="009C486E">
      <w:pPr>
        <w:rPr>
          <w:rFonts w:ascii="Arial" w:hAnsi="Arial" w:cs="Arial"/>
        </w:rPr>
      </w:pPr>
      <w:r>
        <w:rPr>
          <w:rFonts w:ascii="Arial" w:hAnsi="Arial" w:cs="Arial"/>
        </w:rPr>
        <w:t xml:space="preserve">4. </w:t>
      </w:r>
      <w:r w:rsidRPr="009C486E">
        <w:rPr>
          <w:rFonts w:ascii="Arial" w:hAnsi="Arial" w:cs="Arial"/>
          <w:highlight w:val="yellow"/>
        </w:rPr>
        <w:t>For the avoidance of doubt, paragraph 2 shall not prohibit or restrict the ability of the licensee to carry out its EMR functions.</w:t>
      </w:r>
    </w:p>
    <w:sectPr w:rsidR="009C486E" w:rsidRPr="009C48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8B636" w14:textId="77777777" w:rsidR="00E97907" w:rsidRDefault="00E97907" w:rsidP="004E38C8">
      <w:pPr>
        <w:spacing w:after="0" w:line="240" w:lineRule="auto"/>
      </w:pPr>
      <w:r>
        <w:separator/>
      </w:r>
    </w:p>
  </w:endnote>
  <w:endnote w:type="continuationSeparator" w:id="0">
    <w:p w14:paraId="2720A3AE" w14:textId="77777777" w:rsidR="00E97907" w:rsidRDefault="00E97907" w:rsidP="004E3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749A8" w14:textId="77777777" w:rsidR="00E97907" w:rsidRDefault="00E97907" w:rsidP="004E38C8">
      <w:pPr>
        <w:spacing w:after="0" w:line="240" w:lineRule="auto"/>
      </w:pPr>
      <w:r>
        <w:separator/>
      </w:r>
    </w:p>
  </w:footnote>
  <w:footnote w:type="continuationSeparator" w:id="0">
    <w:p w14:paraId="547B51DF" w14:textId="77777777" w:rsidR="00E97907" w:rsidRDefault="00E97907" w:rsidP="004E38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8A7418"/>
    <w:multiLevelType w:val="hybridMultilevel"/>
    <w:tmpl w:val="1CBCC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B75C31"/>
    <w:multiLevelType w:val="hybridMultilevel"/>
    <w:tmpl w:val="03A2D3C0"/>
    <w:lvl w:ilvl="0" w:tplc="86D88F9E">
      <w:start w:val="1"/>
      <w:numFmt w:val="decimal"/>
      <w:lvlText w:val="%1."/>
      <w:lvlJc w:val="left"/>
      <w:pPr>
        <w:ind w:left="720" w:hanging="360"/>
      </w:pPr>
      <w:rPr>
        <w:rFonts w:hint="default"/>
        <w:b/>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1193733"/>
    <w:multiLevelType w:val="hybridMultilevel"/>
    <w:tmpl w:val="B61016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804C08"/>
    <w:multiLevelType w:val="hybridMultilevel"/>
    <w:tmpl w:val="949A4F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6F0625"/>
    <w:multiLevelType w:val="hybridMultilevel"/>
    <w:tmpl w:val="EB3E51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23"/>
    <w:rsid w:val="0008405E"/>
    <w:rsid w:val="00235FBF"/>
    <w:rsid w:val="00284003"/>
    <w:rsid w:val="00297410"/>
    <w:rsid w:val="002B162C"/>
    <w:rsid w:val="00347788"/>
    <w:rsid w:val="004E38C8"/>
    <w:rsid w:val="00503A21"/>
    <w:rsid w:val="00576223"/>
    <w:rsid w:val="00587E6B"/>
    <w:rsid w:val="00726633"/>
    <w:rsid w:val="0083237C"/>
    <w:rsid w:val="008B11A6"/>
    <w:rsid w:val="009C486E"/>
    <w:rsid w:val="00A5450A"/>
    <w:rsid w:val="00AA6CCB"/>
    <w:rsid w:val="00BA6AC2"/>
    <w:rsid w:val="00BF61B9"/>
    <w:rsid w:val="00E22D06"/>
    <w:rsid w:val="00E97907"/>
    <w:rsid w:val="00F66124"/>
    <w:rsid w:val="00F8471D"/>
    <w:rsid w:val="00FC0B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FB69A"/>
  <w15:chartTrackingRefBased/>
  <w15:docId w15:val="{569D8447-B08E-4296-96E0-09DC868C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76223"/>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576223"/>
    <w:pPr>
      <w:ind w:left="720"/>
      <w:contextualSpacing/>
    </w:pPr>
  </w:style>
  <w:style w:type="character" w:customStyle="1" w:styleId="FootnoteTextChar">
    <w:name w:val="Footnote Text Char"/>
    <w:aliases w:val="TBG Style Char"/>
    <w:basedOn w:val="DefaultParagraphFont"/>
    <w:link w:val="FootnoteText"/>
    <w:semiHidden/>
    <w:locked/>
    <w:rsid w:val="004E38C8"/>
    <w:rPr>
      <w:rFonts w:ascii="Times New Roman" w:eastAsia="Times New Roman" w:hAnsi="Times New Roman" w:cs="Times New Roman"/>
      <w:sz w:val="20"/>
      <w:szCs w:val="20"/>
    </w:rPr>
  </w:style>
  <w:style w:type="paragraph" w:styleId="FootnoteText">
    <w:name w:val="footnote text"/>
    <w:aliases w:val="TBG Style"/>
    <w:basedOn w:val="Normal"/>
    <w:link w:val="FootnoteTextChar"/>
    <w:semiHidden/>
    <w:unhideWhenUsed/>
    <w:rsid w:val="004E38C8"/>
    <w:pPr>
      <w:spacing w:after="0" w:line="240" w:lineRule="auto"/>
    </w:pPr>
    <w:rPr>
      <w:rFonts w:ascii="Times New Roman" w:eastAsia="Times New Roman" w:hAnsi="Times New Roman" w:cs="Times New Roman"/>
      <w:sz w:val="20"/>
      <w:szCs w:val="20"/>
    </w:rPr>
  </w:style>
  <w:style w:type="character" w:customStyle="1" w:styleId="FootnoteTextChar1">
    <w:name w:val="Footnote Text Char1"/>
    <w:basedOn w:val="DefaultParagraphFont"/>
    <w:uiPriority w:val="99"/>
    <w:semiHidden/>
    <w:rsid w:val="004E38C8"/>
    <w:rPr>
      <w:sz w:val="20"/>
      <w:szCs w:val="20"/>
    </w:rPr>
  </w:style>
  <w:style w:type="character" w:styleId="FootnoteReference">
    <w:name w:val="footnote reference"/>
    <w:basedOn w:val="DefaultParagraphFont"/>
    <w:semiHidden/>
    <w:unhideWhenUsed/>
    <w:rsid w:val="004E38C8"/>
    <w:rPr>
      <w:vertAlign w:val="superscript"/>
    </w:rPr>
  </w:style>
  <w:style w:type="character" w:customStyle="1" w:styleId="aTable1xChar">
    <w:name w:val="a_Table 1 (x) Char"/>
    <w:basedOn w:val="aTablerightcolumnChar"/>
    <w:link w:val="aTable1x"/>
    <w:locked/>
    <w:rsid w:val="00A5450A"/>
    <w:rPr>
      <w:rFonts w:ascii="Verdana" w:eastAsia="Calibri" w:hAnsi="Verdana" w:cs="Times New Roman"/>
      <w:szCs w:val="20"/>
    </w:rPr>
  </w:style>
  <w:style w:type="paragraph" w:customStyle="1" w:styleId="aTable1x">
    <w:name w:val="a_Table 1 (x)"/>
    <w:basedOn w:val="Normal"/>
    <w:link w:val="aTable1xChar"/>
    <w:qFormat/>
    <w:rsid w:val="00A5450A"/>
    <w:pPr>
      <w:spacing w:after="240" w:line="360" w:lineRule="auto"/>
      <w:jc w:val="both"/>
    </w:pPr>
    <w:rPr>
      <w:rFonts w:ascii="Verdana" w:eastAsia="Calibri" w:hAnsi="Verdana" w:cs="Times New Roman"/>
      <w:szCs w:val="20"/>
    </w:rPr>
  </w:style>
  <w:style w:type="character" w:customStyle="1" w:styleId="aTableleftcolumnChar">
    <w:name w:val="a_Table (left column) Char"/>
    <w:basedOn w:val="DefaultParagraphFont"/>
    <w:link w:val="aTableleftcolumn"/>
    <w:locked/>
    <w:rsid w:val="00A5450A"/>
  </w:style>
  <w:style w:type="paragraph" w:customStyle="1" w:styleId="aTableleftcolumn">
    <w:name w:val="a_Table (left column)"/>
    <w:basedOn w:val="Normal"/>
    <w:link w:val="aTableleftcolumnChar"/>
    <w:qFormat/>
    <w:rsid w:val="00A5450A"/>
    <w:pPr>
      <w:spacing w:after="240" w:line="360" w:lineRule="auto"/>
    </w:pPr>
  </w:style>
  <w:style w:type="character" w:customStyle="1" w:styleId="aTablerightcolumnChar">
    <w:name w:val="a_Table (right column) Char"/>
    <w:basedOn w:val="aTableleftcolumnChar"/>
    <w:link w:val="aTablerightcolumn"/>
    <w:locked/>
    <w:rsid w:val="00A5450A"/>
  </w:style>
  <w:style w:type="paragraph" w:customStyle="1" w:styleId="aTablerightcolumn">
    <w:name w:val="a_Table (right column)"/>
    <w:basedOn w:val="aTableleftcolumn"/>
    <w:link w:val="aTablerightcolumnChar"/>
    <w:qFormat/>
    <w:rsid w:val="00A5450A"/>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7B99F7FD64F84CA3352D1FAB02477C" ma:contentTypeVersion="0" ma:contentTypeDescription="Create a new document." ma:contentTypeScope="" ma:versionID="a7e09ff288ee53d6335c4b1d2a65e38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01A801-C7EF-43C9-A587-7348B825B07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E2FCBE1-B34B-4437-B68C-16E7C9205AEF}">
  <ds:schemaRefs>
    <ds:schemaRef ds:uri="http://schemas.microsoft.com/sharepoint/v3/contenttype/forms"/>
  </ds:schemaRefs>
</ds:datastoreItem>
</file>

<file path=customXml/itemProps3.xml><?xml version="1.0" encoding="utf-8"?>
<ds:datastoreItem xmlns:ds="http://schemas.openxmlformats.org/officeDocument/2006/customXml" ds:itemID="{B2B9783A-4019-47EA-8024-C2F32038C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Grendon Thompson</dc:creator>
  <cp:keywords/>
  <dc:description/>
  <cp:lastModifiedBy>Ayena Gupta</cp:lastModifiedBy>
  <cp:revision>2</cp:revision>
  <dcterms:created xsi:type="dcterms:W3CDTF">2018-08-24T11:44:00Z</dcterms:created>
  <dcterms:modified xsi:type="dcterms:W3CDTF">2018-08-24T11:44:00Z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0x010100787B99F7FD64F84CA3352D1FAB02477C</vt:lpwstr>
  </property>
</Properties>
</file>